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bookmarkStart w:id="0" w:name="_GoBack"/>
      <w:bookmarkEnd w:id="0"/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6CE1B410" w:rsidR="00674F3F" w:rsidRPr="005D4BE4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4F4C01">
        <w:rPr>
          <w:rFonts w:asciiTheme="minorHAnsi" w:eastAsia="Times New Roman" w:hAnsiTheme="minorHAnsi"/>
          <w:b/>
          <w:szCs w:val="28"/>
          <w:lang w:val="hr-HR" w:eastAsia="ar-SA"/>
        </w:rPr>
        <w:t>1.1.1. „Potpora razvoju malih poljoprivrednih gospodarstava“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196F00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2D6B3AE7" w:rsidR="00674F3F" w:rsidRPr="00EE3336" w:rsidRDefault="00674F3F" w:rsidP="00EE3336">
            <w:pPr>
              <w:pStyle w:val="CommentText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6A9A957E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</w:t>
            </w:r>
            <w:r w:rsidR="00150BBB" w:rsidRPr="001169EB">
              <w:rPr>
                <w:rFonts w:asciiTheme="minorHAnsi" w:hAnsiTheme="minorHAnsi" w:cs="Arial"/>
                <w:bCs/>
                <w:i/>
              </w:rPr>
              <w:t xml:space="preserve">br. </w:t>
            </w:r>
            <w:r w:rsidR="001169EB">
              <w:rPr>
                <w:rFonts w:asciiTheme="minorHAnsi" w:hAnsiTheme="minorHAnsi" w:cs="Arial"/>
                <w:bCs/>
                <w:i/>
              </w:rPr>
              <w:t>1. – 1</w:t>
            </w:r>
            <w:r w:rsidR="001F4C96">
              <w:rPr>
                <w:rFonts w:asciiTheme="minorHAnsi" w:hAnsiTheme="minorHAnsi" w:cs="Arial"/>
                <w:bCs/>
                <w:i/>
              </w:rPr>
              <w:t>4</w:t>
            </w:r>
            <w:r w:rsidR="001169EB">
              <w:rPr>
                <w:rFonts w:asciiTheme="minorHAnsi" w:hAnsiTheme="minorHAnsi" w:cs="Arial"/>
                <w:bCs/>
                <w:i/>
              </w:rPr>
              <w:t>.)</w:t>
            </w:r>
          </w:p>
          <w:p w14:paraId="0AE6FA9F" w14:textId="2740CE7E" w:rsidR="008677A0" w:rsidRPr="005D4BE4" w:rsidRDefault="008677A0">
            <w:pPr>
              <w:pStyle w:val="Header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Header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02F59070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17304F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</w:t>
            </w:r>
            <w:r w:rsidR="0017304F">
              <w:rPr>
                <w:rFonts w:asciiTheme="minorHAnsi" w:hAnsiTheme="minorHAnsi"/>
                <w:i/>
                <w:color w:val="000000"/>
                <w:lang w:val="hr-HR"/>
              </w:rPr>
              <w:t>14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9379DE3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</w:t>
            </w:r>
            <w:r w:rsidR="0017304F">
              <w:rPr>
                <w:rFonts w:asciiTheme="minorHAnsi" w:hAnsiTheme="minorHAnsi"/>
                <w:i/>
                <w:color w:val="000000"/>
                <w:lang w:val="hr-HR"/>
              </w:rPr>
              <w:t xml:space="preserve"> 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338DDA7B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</w:t>
            </w:r>
            <w:r w:rsidR="0017304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može dostaviti</w:t>
            </w:r>
            <w:r w:rsidR="00CA3D5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  <w:r w:rsidR="0017304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). Nije obvezno i u word formatu. 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76D34168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17304F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FE8134" w14:textId="77777777" w:rsidR="0017304F" w:rsidRDefault="0017304F" w:rsidP="0017304F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39AF833B" w14:textId="77777777" w:rsidR="0017304F" w:rsidRPr="00BA5BE9" w:rsidRDefault="0017304F" w:rsidP="0017304F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D4A3205" w14:textId="77777777" w:rsidR="0017304F" w:rsidRPr="00BA5BE9" w:rsidRDefault="0017304F" w:rsidP="0017304F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426DBD83" w14:textId="77777777" w:rsidR="0017304F" w:rsidRPr="00BA5BE9" w:rsidRDefault="0017304F" w:rsidP="0017304F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Pr="001C764E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i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070C2050" w14:textId="77777777" w:rsidR="0017304F" w:rsidRPr="00BA5BE9" w:rsidRDefault="0017304F" w:rsidP="0017304F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74048BE" w14:textId="77777777" w:rsidR="0017304F" w:rsidRPr="001C764E" w:rsidRDefault="0017304F" w:rsidP="0017304F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1C764E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78339D40" w14:textId="77777777" w:rsidR="0017304F" w:rsidRPr="001C764E" w:rsidRDefault="0017304F" w:rsidP="0017304F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1C764E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6ED2B7EA" w14:textId="1EBA84ED" w:rsidR="00CC3CA6" w:rsidRPr="00BA5BE9" w:rsidRDefault="0017304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1C764E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  <w:p w14:paraId="4FE023A0" w14:textId="14C4E152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 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7EB5BAE3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17304F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3DFC9106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17304F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863FF5" w14:textId="77777777" w:rsidR="00637568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  <w:p w14:paraId="5EE1B7C9" w14:textId="2D174F51" w:rsidR="004F4C01" w:rsidRPr="005D4BE4" w:rsidRDefault="004F4C01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Potvrdi ne smije biti naveden dug, u slučaju da isti postoji prijava projekta se isključuje iz postupka odabira.</w:t>
            </w:r>
          </w:p>
        </w:tc>
      </w:tr>
      <w:tr w:rsidR="00674F3F" w:rsidRPr="00BA5BE9" w14:paraId="44F35379" w14:textId="77777777" w:rsidTr="00196F00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196F00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2D4265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0BAF459C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poreza na dohodak za</w:t>
            </w:r>
            <w:r w:rsidR="0017304F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 xml:space="preserve">2018.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prosinca </w:t>
            </w:r>
            <w:r w:rsidR="004F4C01" w:rsidRPr="00196F00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4F4C01" w:rsidRPr="00196F00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4F4C01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5E0E3B8D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Popis dugotrajne imovine na dan </w:t>
            </w:r>
            <w:r w:rsidRPr="004F4C01">
              <w:rPr>
                <w:rFonts w:asciiTheme="minorHAnsi" w:hAnsiTheme="minorHAnsi"/>
                <w:color w:val="000000"/>
                <w:lang w:val="hr-HR" w:eastAsia="hr-HR"/>
              </w:rPr>
              <w:t>31.</w:t>
            </w:r>
            <w:r w:rsidR="00595AF3" w:rsidRPr="004F4C01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4F4C01" w:rsidRPr="00196F00">
              <w:rPr>
                <w:rFonts w:asciiTheme="minorHAnsi" w:hAnsiTheme="minorHAnsi"/>
                <w:color w:val="000000"/>
                <w:lang w:val="hr-HR" w:eastAsia="hr-HR"/>
              </w:rPr>
              <w:t>. 201</w:t>
            </w:r>
            <w:r w:rsidR="0017304F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4F4C01" w:rsidRPr="00196F00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4F4C01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• Prijava u registar poreznih obveznika (RPO) – samo za nositelje projekta koji su u godini podnošenja prijave postali obveznikom poreza na dohodak</w:t>
            </w:r>
          </w:p>
          <w:p w14:paraId="423313D9" w14:textId="630F6DCE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, 106/18, 121/19)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1BEE9939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774C49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774C49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5901F8F0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9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61F47304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Samostalne djelatnosti koje se mogu paušalno oporezivati propisane su čl. 1. Pravilnika o paušalnom oporezivanju samostalnih djelatnosti (NN br. 1/20</w:t>
            </w:r>
            <w:r w:rsidR="0017304F">
              <w:rPr>
                <w:rFonts w:asciiTheme="minorHAnsi" w:hAnsiTheme="minorHAnsi"/>
                <w:color w:val="000000"/>
                <w:lang w:val="hr-HR" w:eastAsia="hr-HR"/>
              </w:rPr>
              <w:t>17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).  </w:t>
            </w:r>
          </w:p>
        </w:tc>
      </w:tr>
      <w:tr w:rsidR="00AF6B8D" w:rsidRPr="00BA5BE9" w14:paraId="7FDB8687" w14:textId="77777777" w:rsidTr="00196F00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206E780E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74C49" w:rsidRPr="00196F00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s potvrdom o primitku dokumentacije od FINA-e</w:t>
            </w:r>
          </w:p>
          <w:p w14:paraId="0C1DCB35" w14:textId="4900665C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774C49">
              <w:rPr>
                <w:rFonts w:asciiTheme="minorHAnsi" w:hAnsiTheme="minorHAnsi"/>
                <w:color w:val="000000"/>
                <w:lang w:val="hr-HR" w:eastAsia="hr-HR"/>
              </w:rPr>
              <w:t xml:space="preserve"> 201</w:t>
            </w:r>
            <w:r w:rsidR="0017304F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74C49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7DDB6C5C" w14:textId="2F63B6E2" w:rsidR="007457A6" w:rsidRDefault="000D52FD" w:rsidP="00196F0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17304F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. godinu.  </w:t>
            </w:r>
          </w:p>
          <w:p w14:paraId="50946A10" w14:textId="77777777" w:rsidR="0017304F" w:rsidRDefault="0017304F" w:rsidP="00196F0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208DCCF0" w14:textId="77777777" w:rsidR="0017304F" w:rsidRDefault="0017304F" w:rsidP="00196F0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2580E3CE" w14:textId="68B5C685" w:rsidR="0017304F" w:rsidRPr="007457A6" w:rsidRDefault="0017304F" w:rsidP="00196F0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1B31FDC1" w14:textId="77777777" w:rsidTr="00196F00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1F6BBF51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="00774C49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17304F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774C49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0694F21F" w14:textId="1A96A05D" w:rsidR="00774C49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</w:t>
            </w:r>
            <w:r w:rsidR="00671B9F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  <w:p w14:paraId="1C034138" w14:textId="521B7A31" w:rsidR="00774C49" w:rsidRPr="00196F00" w:rsidRDefault="00774C49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highlight w:val="lightGray"/>
                <w:lang w:val="hr-HR" w:eastAsia="hr-HR"/>
              </w:rPr>
            </w:pPr>
          </w:p>
        </w:tc>
      </w:tr>
      <w:tr w:rsidR="00774C49" w:rsidRPr="00BA5BE9" w14:paraId="4B9832A0" w14:textId="77777777" w:rsidTr="004F792B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C4FA5" w14:textId="7A855E49" w:rsidR="00774C49" w:rsidRPr="00AF6B8D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</w:tr>
      <w:tr w:rsidR="00774C49" w:rsidRPr="00BA5BE9" w14:paraId="707721C5" w14:textId="77777777" w:rsidTr="00196F00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7256C2" w14:textId="1BAADA7D" w:rsidR="00774C49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OSTALA DOKUMENTACIJA</w:t>
            </w:r>
          </w:p>
        </w:tc>
      </w:tr>
      <w:tr w:rsidR="00774C49" w:rsidRPr="00BA5BE9" w14:paraId="221E41CC" w14:textId="77777777" w:rsidTr="00196F00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DAFB1E" w14:textId="22108FE8" w:rsidR="00774C49" w:rsidRPr="008B5433" w:rsidRDefault="00774C49" w:rsidP="004F792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10.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B2403" w14:textId="77777777" w:rsidR="00774C49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EKOLOŠKI PROIZVOĐAČI</w:t>
            </w:r>
          </w:p>
          <w:p w14:paraId="071A96F7" w14:textId="25D38D19" w:rsidR="00774C49" w:rsidRPr="00EA2AB6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Rješenje o upisu u Upisnik subjekata u ekološkoj proizvodnji i/ili posljednju Potvrdnicu (certifikat) kontrolnog tijela</w:t>
            </w:r>
          </w:p>
        </w:tc>
      </w:tr>
      <w:tr w:rsidR="00774C49" w:rsidRPr="00BA5BE9" w14:paraId="41BC735F" w14:textId="77777777" w:rsidTr="00D53A53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7CE69" w14:textId="24BDE794" w:rsidR="00774C49" w:rsidRDefault="00774C49" w:rsidP="00196F00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11.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496F2" w14:textId="77777777" w:rsidR="00774C49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DOKAZ O OBRAZOVANJU</w:t>
            </w:r>
          </w:p>
          <w:p w14:paraId="4A769199" w14:textId="6C88FA95" w:rsidR="00774C49" w:rsidRPr="00196F00" w:rsidRDefault="00774C49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196F00">
              <w:rPr>
                <w:rFonts w:asciiTheme="minorHAnsi" w:hAnsiTheme="minorHAnsi"/>
                <w:color w:val="000000"/>
                <w:lang w:val="hr-HR" w:eastAsia="hr-HR"/>
              </w:rPr>
              <w:t>Potrebno je dostaviti diplomu/potvrdu ili drugi odgovarajući dokument kojim se dokazuje stupanj obrazovanja kako je navedeno u Prilogu IV. Obrazloženju kriterija odabira</w:t>
            </w:r>
            <w:r w:rsidR="001169EB" w:rsidRPr="00196F00">
              <w:rPr>
                <w:rFonts w:asciiTheme="minorHAnsi" w:hAnsiTheme="minorHAnsi"/>
                <w:color w:val="000000"/>
                <w:lang w:val="hr-HR" w:eastAsia="hr-HR"/>
              </w:rPr>
              <w:t>, dokumentacija za Kriterij odabira br. 2</w:t>
            </w:r>
          </w:p>
        </w:tc>
      </w:tr>
      <w:tr w:rsidR="00D53A53" w:rsidRPr="00BA5BE9" w14:paraId="4E7798B1" w14:textId="77777777" w:rsidTr="00D53A53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F0432" w14:textId="0750F93C" w:rsidR="00D53A53" w:rsidRDefault="00D53A53" w:rsidP="00196F00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5E326" w14:textId="77777777" w:rsidR="00D53A53" w:rsidRDefault="00D53A53" w:rsidP="00D53A5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Obrazac D. Izjava o radnom iskustvu</w:t>
            </w:r>
          </w:p>
          <w:p w14:paraId="4AA80305" w14:textId="77777777" w:rsidR="00D53A53" w:rsidRPr="000304F1" w:rsidRDefault="00D53A53" w:rsidP="00D53A53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0304F1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A88A4F8" w14:textId="77777777" w:rsidR="00D53A53" w:rsidRDefault="00D53A53" w:rsidP="00D53A53">
            <w:pPr>
              <w:spacing w:after="120"/>
              <w:jc w:val="both"/>
              <w:rPr>
                <w:i/>
              </w:rPr>
            </w:pPr>
            <w:r w:rsidRPr="000304F1">
              <w:rPr>
                <w:rFonts w:asciiTheme="minorHAnsi" w:hAnsiTheme="minorHAnsi"/>
                <w:i/>
                <w:color w:val="000000"/>
                <w:lang w:val="hr-HR"/>
              </w:rPr>
              <w:t>Preuzmite predložak (Obrazac D. Sastavni dio Natječaja) te ga popunite u skladu s pojašnjenjima i uputama, ispišite, potpišite i ovjerite (OPG koji nema žig može samo potpisati).</w:t>
            </w:r>
            <w:r w:rsidRPr="000304F1">
              <w:rPr>
                <w:i/>
              </w:rPr>
              <w:t xml:space="preserve"> </w:t>
            </w:r>
          </w:p>
          <w:p w14:paraId="572D82E0" w14:textId="77777777" w:rsidR="00D53A53" w:rsidRPr="000304F1" w:rsidRDefault="00D53A53" w:rsidP="00D53A53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NAPOMENA. </w:t>
            </w:r>
            <w:proofErr w:type="spellStart"/>
            <w:r>
              <w:rPr>
                <w:i/>
              </w:rPr>
              <w:t>Obrazac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dostavljate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ukoliko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ostvarujete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bodove</w:t>
            </w:r>
            <w:proofErr w:type="spellEnd"/>
            <w:r>
              <w:rPr>
                <w:i/>
              </w:rPr>
              <w:t xml:space="preserve"> po </w:t>
            </w:r>
            <w:proofErr w:type="spellStart"/>
            <w:r>
              <w:rPr>
                <w:i/>
              </w:rPr>
              <w:t>Kriteriju</w:t>
            </w:r>
            <w:proofErr w:type="spellEnd"/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iz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tablice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Kriteriji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odabira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Prilog</w:t>
            </w:r>
            <w:proofErr w:type="spellEnd"/>
            <w:r>
              <w:rPr>
                <w:i/>
              </w:rPr>
              <w:t xml:space="preserve"> IV. </w:t>
            </w:r>
            <w:proofErr w:type="spellStart"/>
            <w:r>
              <w:rPr>
                <w:i/>
              </w:rPr>
              <w:t>Obrazloženje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kriterija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odabira</w:t>
            </w:r>
            <w:proofErr w:type="spellEnd"/>
            <w:r>
              <w:rPr>
                <w:i/>
              </w:rPr>
              <w:t>)</w:t>
            </w:r>
          </w:p>
          <w:p w14:paraId="1640C94F" w14:textId="77777777" w:rsidR="00D53A53" w:rsidRDefault="00D53A53" w:rsidP="004F792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  <w:tr w:rsidR="00D53A53" w:rsidRPr="00BA5BE9" w14:paraId="095A9081" w14:textId="77777777" w:rsidTr="00D53A53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CE24A" w14:textId="48F4E431" w:rsidR="00D53A53" w:rsidRDefault="00D53A53" w:rsidP="00196F00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13.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CA5FA" w14:textId="77777777" w:rsidR="00D53A53" w:rsidRDefault="00D53A53" w:rsidP="00D53A5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Obrazac E. Suglasnost za obradu osobnih podataka</w:t>
            </w:r>
          </w:p>
          <w:p w14:paraId="11582A0F" w14:textId="77777777" w:rsidR="00D53A53" w:rsidRPr="00BD3BE6" w:rsidRDefault="00D53A53" w:rsidP="00D53A53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D3BE6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E524ACD" w14:textId="77777777" w:rsidR="00D53A53" w:rsidRDefault="00D53A53" w:rsidP="00D53A53">
            <w:pPr>
              <w:spacing w:after="120"/>
              <w:jc w:val="both"/>
              <w:rPr>
                <w:i/>
              </w:rPr>
            </w:pPr>
            <w:r w:rsidRPr="000304F1">
              <w:rPr>
                <w:rFonts w:asciiTheme="minorHAnsi" w:hAnsiTheme="minorHAnsi"/>
                <w:i/>
                <w:color w:val="000000"/>
                <w:lang w:val="hr-HR"/>
              </w:rPr>
              <w:t xml:space="preserve">Preuzmite predložak (Obrazac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Pr="000304F1">
              <w:rPr>
                <w:rFonts w:asciiTheme="minorHAnsi" w:hAnsiTheme="minorHAnsi"/>
                <w:i/>
                <w:color w:val="000000"/>
                <w:lang w:val="hr-HR"/>
              </w:rPr>
              <w:t>. Sastavni dio Natječaja) te ga popunite u skladu s pojašnjenjima i uputama, ispišite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I potpišite</w:t>
            </w:r>
          </w:p>
          <w:p w14:paraId="3B821B35" w14:textId="77777777" w:rsidR="00D53A53" w:rsidRDefault="00D53A53" w:rsidP="00D53A5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</w:tr>
      <w:tr w:rsidR="00D53A53" w:rsidRPr="00BA5BE9" w14:paraId="6FA7F180" w14:textId="77777777" w:rsidTr="004F792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9A72F" w14:textId="15ED82A0" w:rsidR="00D53A53" w:rsidRDefault="00D53A53" w:rsidP="00196F00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14.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C9277C" w14:textId="77777777" w:rsidR="00D53A53" w:rsidRDefault="00D53A53" w:rsidP="00D53A5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Obrazac F. FADN kalkulator</w:t>
            </w:r>
          </w:p>
          <w:p w14:paraId="0E504A88" w14:textId="77777777" w:rsidR="00D53A53" w:rsidRPr="00D53A53" w:rsidRDefault="00D53A53" w:rsidP="00D53A53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lang w:val="hr-HR" w:eastAsia="hr-HR"/>
              </w:rPr>
            </w:pPr>
            <w:r w:rsidRPr="00D53A53">
              <w:rPr>
                <w:rFonts w:cs="Calibri"/>
                <w:i/>
                <w:color w:val="000000"/>
                <w:lang w:val="hr-HR" w:eastAsia="hr-HR"/>
              </w:rPr>
              <w:t>Pojašnjenje: Nositelj projekta mora ispuniti i priložiti EVPG (FADN) kalkulator ako planira ostvarenje cilja „povećanje proizvodnog kapaciteta iskazanom kroz povećanje ukupnog standardnog ekonomskog rezultata“.</w:t>
            </w:r>
          </w:p>
          <w:p w14:paraId="3947F17D" w14:textId="54450F6A" w:rsidR="00D53A53" w:rsidRPr="00D53A53" w:rsidRDefault="00D53A53" w:rsidP="00D53A53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color w:val="000000"/>
                <w:lang w:val="hr-HR" w:eastAsia="hr-HR"/>
              </w:rPr>
            </w:pPr>
            <w:r w:rsidRPr="00D53A53">
              <w:rPr>
                <w:rFonts w:cs="Calibri"/>
                <w:i/>
                <w:color w:val="000000"/>
                <w:lang w:val="hr-HR" w:eastAsia="hr-HR"/>
              </w:rPr>
              <w:t xml:space="preserve">Preuzmite predložak EVPG (FADN)  kalkulatora (Obrazac F - sastavni dio Natječaja) u </w:t>
            </w:r>
            <w:proofErr w:type="spellStart"/>
            <w:r w:rsidRPr="00D53A53">
              <w:rPr>
                <w:rFonts w:cs="Calibri"/>
                <w:i/>
                <w:color w:val="000000"/>
                <w:lang w:val="hr-HR" w:eastAsia="hr-HR"/>
              </w:rPr>
              <w:t>excel</w:t>
            </w:r>
            <w:proofErr w:type="spellEnd"/>
            <w:r w:rsidRPr="00D53A53">
              <w:rPr>
                <w:rFonts w:cs="Calibri"/>
                <w:i/>
                <w:color w:val="000000"/>
                <w:lang w:val="hr-HR" w:eastAsia="hr-HR"/>
              </w:rPr>
              <w:t xml:space="preserve"> formatu te ga popunite u skladu s pojašnjenjima i uputama. EVPG (FADN) kalkulator se obavezno dostavlja i u elektroničkom obliku (DVD ili CD s oznakom R:CD/R, DVD/R).</w:t>
            </w:r>
          </w:p>
          <w:p w14:paraId="0CDF5AB8" w14:textId="18081716" w:rsidR="00D53A53" w:rsidRDefault="00D53A53" w:rsidP="00D53A5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755499">
              <w:rPr>
                <w:rFonts w:cs="Calibri"/>
                <w:color w:val="000000"/>
                <w:lang w:val="hr-HR" w:eastAsia="hr-HR"/>
              </w:rPr>
              <w:t xml:space="preserve">Napomena: U EVPG </w:t>
            </w:r>
            <w:r>
              <w:rPr>
                <w:rFonts w:cs="Calibri"/>
                <w:color w:val="000000"/>
                <w:lang w:val="hr-HR" w:eastAsia="hr-HR"/>
              </w:rPr>
              <w:t xml:space="preserve">(FADN) </w:t>
            </w:r>
            <w:r w:rsidRPr="00755499">
              <w:rPr>
                <w:rFonts w:cs="Calibri"/>
                <w:color w:val="000000"/>
                <w:lang w:val="hr-HR" w:eastAsia="hr-HR"/>
              </w:rPr>
              <w:t>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4E1FD01D" w14:textId="77777777" w:rsidR="00674F3F" w:rsidRPr="005D4BE4" w:rsidRDefault="00674F3F" w:rsidP="00E266F2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6722" w14:textId="77777777" w:rsidR="00140E35" w:rsidRDefault="00140E35" w:rsidP="004348F8">
      <w:pPr>
        <w:spacing w:after="0" w:line="240" w:lineRule="auto"/>
      </w:pPr>
      <w:r>
        <w:separator/>
      </w:r>
    </w:p>
  </w:endnote>
  <w:endnote w:type="continuationSeparator" w:id="0">
    <w:p w14:paraId="5B83A1A9" w14:textId="77777777" w:rsidR="00140E35" w:rsidRDefault="00140E35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56B2" w14:textId="77777777" w:rsidR="00140E35" w:rsidRDefault="00140E35" w:rsidP="004348F8">
      <w:pPr>
        <w:spacing w:after="0" w:line="240" w:lineRule="auto"/>
      </w:pPr>
      <w:r>
        <w:separator/>
      </w:r>
    </w:p>
  </w:footnote>
  <w:footnote w:type="continuationSeparator" w:id="0">
    <w:p w14:paraId="3B147DD3" w14:textId="77777777" w:rsidR="00140E35" w:rsidRDefault="00140E35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69EB"/>
    <w:rsid w:val="00117EFB"/>
    <w:rsid w:val="0012650E"/>
    <w:rsid w:val="00140895"/>
    <w:rsid w:val="00140E35"/>
    <w:rsid w:val="00150BBB"/>
    <w:rsid w:val="00156C0B"/>
    <w:rsid w:val="00161555"/>
    <w:rsid w:val="0017304F"/>
    <w:rsid w:val="00196F00"/>
    <w:rsid w:val="001D1C2B"/>
    <w:rsid w:val="001D6F04"/>
    <w:rsid w:val="001F23D1"/>
    <w:rsid w:val="001F2DD9"/>
    <w:rsid w:val="001F4C96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58E6"/>
    <w:rsid w:val="002A7461"/>
    <w:rsid w:val="002B768C"/>
    <w:rsid w:val="002B76F2"/>
    <w:rsid w:val="002C0D84"/>
    <w:rsid w:val="002C54C4"/>
    <w:rsid w:val="002D4265"/>
    <w:rsid w:val="002D4BBC"/>
    <w:rsid w:val="002F4C74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4C01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0DEF"/>
    <w:rsid w:val="006123A3"/>
    <w:rsid w:val="00612F74"/>
    <w:rsid w:val="0061541C"/>
    <w:rsid w:val="00621968"/>
    <w:rsid w:val="00626603"/>
    <w:rsid w:val="00627D8E"/>
    <w:rsid w:val="00636B0B"/>
    <w:rsid w:val="00637568"/>
    <w:rsid w:val="0064108F"/>
    <w:rsid w:val="00643F62"/>
    <w:rsid w:val="0066087B"/>
    <w:rsid w:val="00671B9F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74C49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4693A"/>
    <w:rsid w:val="009635D4"/>
    <w:rsid w:val="00994CE8"/>
    <w:rsid w:val="009B056E"/>
    <w:rsid w:val="009B6091"/>
    <w:rsid w:val="009B6AEA"/>
    <w:rsid w:val="009B6DC0"/>
    <w:rsid w:val="009B72A6"/>
    <w:rsid w:val="009C072C"/>
    <w:rsid w:val="009C0786"/>
    <w:rsid w:val="009C5A25"/>
    <w:rsid w:val="009C5FED"/>
    <w:rsid w:val="009D618C"/>
    <w:rsid w:val="009E6605"/>
    <w:rsid w:val="009F462E"/>
    <w:rsid w:val="00A01A52"/>
    <w:rsid w:val="00A048BA"/>
    <w:rsid w:val="00A224FA"/>
    <w:rsid w:val="00A22AD3"/>
    <w:rsid w:val="00A348EB"/>
    <w:rsid w:val="00A360A1"/>
    <w:rsid w:val="00A46743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3D52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53A53"/>
    <w:rsid w:val="00D55D20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266F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A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E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B220-7DB5-4BD4-9BE6-E91B22D5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Mentorides</cp:lastModifiedBy>
  <cp:revision>5</cp:revision>
  <cp:lastPrinted>2018-06-04T09:13:00Z</cp:lastPrinted>
  <dcterms:created xsi:type="dcterms:W3CDTF">2020-02-17T07:28:00Z</dcterms:created>
  <dcterms:modified xsi:type="dcterms:W3CDTF">2020-02-17T07:59:00Z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